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DETERMINAZIONE DELLA PRECEDENZA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AMMINISTRATORE ENTE LOCALE</w:t>
      </w:r>
    </w:p>
    <w:p w:rsidR="00000000" w:rsidDel="00000000" w:rsidP="00000000" w:rsidRDefault="00000000" w:rsidRPr="00000000" w14:paraId="00000004">
      <w:pPr>
        <w:tabs>
          <w:tab w:val="left" w:leader="none" w:pos="286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(cancellare le voci che non interessano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4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Il/La sottoscritto/a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Nato/a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8">
            <w:pPr>
              <w:ind w:right="207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Prov.</w:t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Titolare (posto/classe di concorso/sostegno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spacing w:after="0" w:lineRule="auto"/>
              <w:ind w:right="207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37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454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sotto la propria responsabilità, a norma delle disposizioni contenute nel DPR n. 445 del 28-12-2000 e s.m.i., il possesso della </w:t>
      </w:r>
      <w:r w:rsidDel="00000000" w:rsidR="00000000" w:rsidRPr="00000000">
        <w:rPr>
          <w:b w:val="1"/>
          <w:rtl w:val="0"/>
        </w:rPr>
        <w:t xml:space="preserve">precedenza di cui all’art 13/1 punto VII </w:t>
      </w:r>
      <w:r w:rsidDel="00000000" w:rsidR="00000000" w:rsidRPr="00000000">
        <w:rPr>
          <w:rtl w:val="0"/>
        </w:rPr>
        <w:t xml:space="preserve">del CCNI sulla mobilità: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rientrare nel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che ricopre cariche pubbliche nelle amministrazioni degli enti locali (compresi i consiglieri di pari opportunità) e 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svolgere il proprio mandato amministrativo NELLA PROVINCIA DI TITOLARITA’</w:t>
      </w:r>
    </w:p>
    <w:tbl>
      <w:tblPr>
        <w:tblStyle w:val="Table2"/>
        <w:tblW w:w="9533.0" w:type="dxa"/>
        <w:jc w:val="left"/>
        <w:tblInd w:w="106.0" w:type="dxa"/>
        <w:tblLayout w:type="fixed"/>
        <w:tblLook w:val="04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 qualità 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3">
            <w:pPr>
              <w:spacing w:after="0" w:lineRule="auto"/>
              <w:ind w:right="207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37" w:lineRule="auto"/>
        <w:ind w:left="4546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4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spacing w:after="0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nel  Comune di                                     Prov.</w:t>
            </w:r>
          </w:p>
        </w:tc>
      </w:tr>
    </w:tbl>
    <w:p w:rsidR="00000000" w:rsidDel="00000000" w:rsidP="00000000" w:rsidRDefault="00000000" w:rsidRPr="00000000" w14:paraId="00000017">
      <w:pPr>
        <w:spacing w:after="0" w:line="237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4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spacing w:after="0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dal</w:t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Di impegnarsi, nel caso vengano meno le condizioni per usufruire della precedenza, a comunicarlo all’ A.T.P., 10 giorni prima del termine ultimo di comunicazione al SIDI delle domande.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