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 LA DETERMINAZIONE DEI BENEFICI 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CUI ALL’ART. 21 DELLA LEGGE  104/92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Il/La sottoscritto/a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line="276" w:lineRule="auto"/>
              <w:ind w:right="20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3.0" w:type="dxa"/>
        <w:jc w:val="left"/>
        <w:tblInd w:w="426.0" w:type="dxa"/>
        <w:tblLayout w:type="fixed"/>
        <w:tblLook w:val="0000"/>
      </w:tblPr>
      <w:tblGrid>
        <w:gridCol w:w="2140"/>
        <w:gridCol w:w="7073"/>
        <w:tblGridChange w:id="0">
          <w:tblGrid>
            <w:gridCol w:w="2140"/>
            <w:gridCol w:w="7073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Titolare (posto/classe di concorso/sostegno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line="276" w:lineRule="auto"/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spacing w:line="276" w:lineRule="auto"/>
        <w:ind w:left="6" w:right="1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sotto la propria responsabilità, a norma delle disposizioni contenute nel DPR n. 445 del 28-12-2000 e s.m.i., i seguenti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benefici di cui alla legge 104/92 in base all’art 13/1 punto III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 CCNI sulla mobilità: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residente </w:t>
      </w:r>
      <w:r w:rsidDel="00000000" w:rsidR="00000000" w:rsidRPr="00000000">
        <w:rPr>
          <w:rtl w:val="0"/>
        </w:rPr>
      </w:r>
    </w:p>
    <w:tbl>
      <w:tblPr>
        <w:tblStyle w:val="Table3"/>
        <w:tblW w:w="9533.0" w:type="dxa"/>
        <w:jc w:val="left"/>
        <w:tblInd w:w="106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 Comune di                                                  prov.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alla via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fruire della precedenza di cui all’art. 13/1 punto III sub punto I del CCNI in quanto in possesso di certificazioni attestanti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DISABILITÀ PERSONALE E UN’INVALIDITÀ SUPERIORE AI 2/3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none"/>
          <w:rtl w:val="0"/>
        </w:rPr>
        <w:t xml:space="preserve">o con minorazioni iscritte alle categorie prima, seconda e terza della tabella "A" annessa alla legge 10 agosto 1950, n. 648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come da documentazione allegata;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impegnarsi, nel caso vengano meno le condizioni per usufruire della precedenza, a comunicarlo all’ A.T.P. ,10 giorni prima del termine ultimo di comunicazione al SIDI  delle domande.</w:t>
      </w:r>
    </w:p>
    <w:p w:rsidR="00000000" w:rsidDel="00000000" w:rsidP="00000000" w:rsidRDefault="00000000" w:rsidRPr="00000000" w14:paraId="0000001B">
      <w:pPr>
        <w:spacing w:after="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